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651" w:rsidRPr="00BB551B" w:rsidRDefault="00C01651" w:rsidP="00C01651">
      <w:pPr>
        <w:keepNext/>
        <w:spacing w:after="240" w:line="240" w:lineRule="auto"/>
        <w:rPr>
          <w:rFonts w:ascii="Times New Roman Bold" w:eastAsia="Times New Roman" w:hAnsi="Times New Roman Bold" w:cs="Times New Roman"/>
          <w:b/>
          <w:sz w:val="20"/>
          <w:szCs w:val="20"/>
        </w:rPr>
      </w:pPr>
      <w:r w:rsidRPr="00BB551B">
        <w:rPr>
          <w:rFonts w:ascii="Times New Roman Bold" w:eastAsia="Times New Roman" w:hAnsi="Times New Roman Bold" w:cs="Times New Roman"/>
          <w:b/>
          <w:sz w:val="20"/>
          <w:szCs w:val="20"/>
        </w:rPr>
        <w:t>Notice to all customers regarding the Unlawful Internet Gambling Enforcement Act (UIGEA) of 2006</w:t>
      </w:r>
    </w:p>
    <w:p w:rsidR="00C01651" w:rsidRPr="00BB551B" w:rsidRDefault="00C01651" w:rsidP="00C01651">
      <w:pPr>
        <w:spacing w:after="240" w:line="240" w:lineRule="auto"/>
        <w:rPr>
          <w:rFonts w:ascii="Times New Roman" w:eastAsia="Times New Roman" w:hAnsi="Times New Roman" w:cs="Times New Roman"/>
          <w:sz w:val="20"/>
          <w:szCs w:val="20"/>
        </w:rPr>
      </w:pPr>
      <w:r w:rsidRPr="00BB551B">
        <w:rPr>
          <w:rFonts w:ascii="Times New Roman" w:eastAsia="Times New Roman" w:hAnsi="Times New Roman" w:cs="Times New Roman"/>
          <w:sz w:val="20"/>
          <w:szCs w:val="20"/>
        </w:rPr>
        <w:t>The Unlawful Internet Gambling Act (UIGEA) of 2006 prohibits China Construction Bank, New York Branch (“CCBNY”) from processing restricted transactions through your account. Restricted transactions are transactions in which a person accepts credit, funds, instruments or other proceeds from another person in connection with unlawful Internet gambling.</w:t>
      </w:r>
    </w:p>
    <w:p w:rsidR="00C01651" w:rsidRPr="00BB551B" w:rsidRDefault="00C01651" w:rsidP="00C01651">
      <w:pPr>
        <w:spacing w:after="240" w:line="240" w:lineRule="auto"/>
        <w:rPr>
          <w:rFonts w:ascii="Times New Roman" w:eastAsia="Times New Roman" w:hAnsi="Times New Roman" w:cs="Times New Roman"/>
          <w:sz w:val="20"/>
          <w:szCs w:val="20"/>
        </w:rPr>
      </w:pPr>
      <w:r w:rsidRPr="00BB551B">
        <w:rPr>
          <w:rFonts w:ascii="Times New Roman" w:eastAsia="Times New Roman" w:hAnsi="Times New Roman" w:cs="Times New Roman"/>
          <w:sz w:val="20"/>
          <w:szCs w:val="20"/>
        </w:rPr>
        <w:t>The UIGEA, signed into law in 2006, prohibits any person engaged in the business of betting or wagering (as defined in the Act) from knowingly accepting payments in connection with the participation of another person in unlawful internet gambling.</w:t>
      </w:r>
    </w:p>
    <w:p w:rsidR="00C01651" w:rsidRPr="00BB551B" w:rsidRDefault="00C01651" w:rsidP="00C01651">
      <w:pPr>
        <w:spacing w:after="240" w:line="240" w:lineRule="auto"/>
        <w:rPr>
          <w:rFonts w:ascii="Times New Roman" w:eastAsia="Times New Roman" w:hAnsi="Times New Roman" w:cs="Times New Roman"/>
          <w:sz w:val="20"/>
          <w:szCs w:val="20"/>
        </w:rPr>
      </w:pPr>
      <w:r w:rsidRPr="00BB551B">
        <w:rPr>
          <w:rFonts w:ascii="Times New Roman" w:eastAsia="Times New Roman" w:hAnsi="Times New Roman" w:cs="Times New Roman"/>
          <w:sz w:val="20"/>
          <w:szCs w:val="20"/>
        </w:rPr>
        <w:t>The United States Department of the Treasury and the Federal Reserve Board have issued a joint final rule, Regulation GG, to implement this Act.</w:t>
      </w:r>
    </w:p>
    <w:p w:rsidR="00C01651" w:rsidRPr="00BB551B" w:rsidRDefault="00C01651" w:rsidP="00C01651">
      <w:pPr>
        <w:spacing w:after="240" w:line="240" w:lineRule="auto"/>
        <w:rPr>
          <w:rFonts w:ascii="Times New Roman" w:eastAsia="Times New Roman" w:hAnsi="Times New Roman" w:cs="Times New Roman"/>
          <w:sz w:val="20"/>
          <w:szCs w:val="20"/>
        </w:rPr>
      </w:pPr>
      <w:r w:rsidRPr="00BB551B">
        <w:rPr>
          <w:rFonts w:ascii="Times New Roman" w:eastAsia="Times New Roman" w:hAnsi="Times New Roman" w:cs="Times New Roman"/>
          <w:sz w:val="20"/>
          <w:szCs w:val="20"/>
        </w:rPr>
        <w:t>As defined in Regulation GG, unlawful Internet gambling means to “place, receive or otherwise knowingly transmit a bet or wager by any means which involves the use, at least in part, of the Internet where such bet or wager is unlawful under any applicable Federal or State law in the State or Tribal lands in which the bet or wager is initiated, received or otherwise made.”</w:t>
      </w:r>
    </w:p>
    <w:p w:rsidR="00C01651" w:rsidRPr="00BB551B" w:rsidRDefault="00C01651" w:rsidP="00C01651">
      <w:pPr>
        <w:spacing w:after="240" w:line="240" w:lineRule="auto"/>
        <w:rPr>
          <w:rFonts w:ascii="Times New Roman" w:eastAsia="Times New Roman" w:hAnsi="Times New Roman" w:cs="Times New Roman"/>
          <w:sz w:val="20"/>
          <w:szCs w:val="20"/>
        </w:rPr>
      </w:pPr>
      <w:r w:rsidRPr="00BB551B">
        <w:rPr>
          <w:rFonts w:ascii="Times New Roman" w:eastAsia="Times New Roman" w:hAnsi="Times New Roman" w:cs="Times New Roman"/>
          <w:sz w:val="20"/>
          <w:szCs w:val="20"/>
        </w:rPr>
        <w:t>As a customer of CCBNY, you are prohibited from processing these restricted transactions through your account or banking relationship with us. CCBNY does not currently accept customers who are engaged in Internet gambling business as customers.</w:t>
      </w:r>
    </w:p>
    <w:p w:rsidR="00C01651" w:rsidRPr="00BB551B" w:rsidRDefault="00C01651" w:rsidP="00C01651">
      <w:pPr>
        <w:spacing w:after="240" w:line="240" w:lineRule="auto"/>
        <w:rPr>
          <w:rFonts w:ascii="Times New Roman" w:eastAsia="Times New Roman" w:hAnsi="Times New Roman" w:cs="Times New Roman"/>
          <w:sz w:val="20"/>
          <w:szCs w:val="20"/>
        </w:rPr>
      </w:pPr>
      <w:r w:rsidRPr="00BB551B">
        <w:rPr>
          <w:rFonts w:ascii="Times New Roman" w:eastAsia="Times New Roman" w:hAnsi="Times New Roman" w:cs="Times New Roman"/>
          <w:sz w:val="20"/>
          <w:szCs w:val="20"/>
        </w:rPr>
        <w:t xml:space="preserve">Please contact the Compliance Department at </w:t>
      </w:r>
      <w:hyperlink r:id="rId7" w:history="1">
        <w:r w:rsidRPr="00BB551B">
          <w:rPr>
            <w:rFonts w:ascii="Times New Roman" w:eastAsia="Times New Roman" w:hAnsi="Times New Roman" w:cs="Times New Roman"/>
            <w:color w:val="0000FF"/>
            <w:sz w:val="20"/>
            <w:szCs w:val="20"/>
            <w:u w:val="single"/>
          </w:rPr>
          <w:t>CCBNY.COMPLIANCE@ccbny.com</w:t>
        </w:r>
      </w:hyperlink>
      <w:r w:rsidRPr="00BB551B">
        <w:rPr>
          <w:rFonts w:ascii="Times New Roman" w:eastAsia="Times New Roman" w:hAnsi="Times New Roman" w:cs="Times New Roman"/>
          <w:sz w:val="20"/>
          <w:szCs w:val="20"/>
        </w:rPr>
        <w:t xml:space="preserve">  if you would like additional information on UIGEA or Regulation GG.</w:t>
      </w:r>
    </w:p>
    <w:p w:rsidR="00C01651" w:rsidRPr="00BB551B" w:rsidRDefault="00C01651" w:rsidP="00C01651">
      <w:pPr>
        <w:spacing w:after="240" w:line="240" w:lineRule="auto"/>
        <w:rPr>
          <w:rFonts w:ascii="Times New Roman" w:eastAsia="Times New Roman" w:hAnsi="Times New Roman" w:cs="Times New Roman"/>
          <w:sz w:val="20"/>
          <w:szCs w:val="20"/>
        </w:rPr>
      </w:pPr>
    </w:p>
    <w:p w:rsidR="00C01651" w:rsidRPr="00BB551B" w:rsidRDefault="00C01651" w:rsidP="00C01651">
      <w:pPr>
        <w:spacing w:after="240" w:line="240" w:lineRule="auto"/>
        <w:rPr>
          <w:rFonts w:ascii="Times New Roman" w:eastAsia="Times New Roman" w:hAnsi="Times New Roman" w:cs="Times New Roman"/>
          <w:sz w:val="20"/>
          <w:szCs w:val="20"/>
        </w:rPr>
      </w:pPr>
      <w:r w:rsidRPr="00BB551B">
        <w:rPr>
          <w:rFonts w:ascii="Times New Roman" w:eastAsia="Times New Roman" w:hAnsi="Times New Roman" w:cs="Times New Roman"/>
          <w:sz w:val="20"/>
          <w:szCs w:val="20"/>
        </w:rPr>
        <w:t>Sincerely yours,</w:t>
      </w:r>
      <w:r w:rsidRPr="00BB551B">
        <w:rPr>
          <w:rFonts w:ascii="Times New Roman" w:eastAsia="Times New Roman" w:hAnsi="Times New Roman" w:cs="Times New Roman"/>
          <w:sz w:val="20"/>
          <w:szCs w:val="20"/>
        </w:rPr>
        <w:br/>
      </w:r>
      <w:r w:rsidRPr="00BB551B">
        <w:rPr>
          <w:rFonts w:ascii="Times New Roman" w:eastAsia="Times New Roman" w:hAnsi="Times New Roman" w:cs="Times New Roman"/>
          <w:sz w:val="20"/>
          <w:szCs w:val="20"/>
        </w:rPr>
        <w:br/>
      </w:r>
      <w:r w:rsidRPr="00BB551B">
        <w:rPr>
          <w:rFonts w:ascii="Times New Roman" w:eastAsia="Times New Roman" w:hAnsi="Times New Roman" w:cs="Times New Roman"/>
          <w:sz w:val="20"/>
          <w:szCs w:val="20"/>
        </w:rPr>
        <w:br/>
        <w:t>China Construction Bank,</w:t>
      </w:r>
      <w:r w:rsidRPr="00BB551B">
        <w:rPr>
          <w:rFonts w:ascii="Times New Roman" w:eastAsia="Times New Roman" w:hAnsi="Times New Roman" w:cs="Times New Roman"/>
          <w:sz w:val="20"/>
          <w:szCs w:val="20"/>
        </w:rPr>
        <w:br/>
        <w:t>New York Branch</w:t>
      </w:r>
    </w:p>
    <w:p w:rsidR="00C01651" w:rsidRPr="00BB551B" w:rsidRDefault="00C01651" w:rsidP="00C01651">
      <w:pPr>
        <w:spacing w:after="0" w:line="240" w:lineRule="auto"/>
        <w:rPr>
          <w:rFonts w:ascii="Times New Roman" w:eastAsia="Times New Roman" w:hAnsi="Times New Roman" w:cs="Times New Roman"/>
          <w:sz w:val="20"/>
          <w:szCs w:val="20"/>
        </w:rPr>
      </w:pPr>
    </w:p>
    <w:p w:rsidR="00C01651" w:rsidRPr="00BB551B" w:rsidRDefault="00C01651" w:rsidP="00C01651">
      <w:pPr>
        <w:spacing w:after="0" w:line="240" w:lineRule="auto"/>
        <w:rPr>
          <w:rFonts w:ascii="Times New Roman" w:eastAsia="Times New Roman" w:hAnsi="Times New Roman" w:cs="Times New Roman"/>
          <w:sz w:val="20"/>
          <w:szCs w:val="20"/>
        </w:rPr>
      </w:pPr>
    </w:p>
    <w:p w:rsidR="00C01651" w:rsidRPr="00BB551B" w:rsidRDefault="00C01651" w:rsidP="00C01651">
      <w:pPr>
        <w:spacing w:after="0" w:line="240" w:lineRule="auto"/>
        <w:jc w:val="center"/>
        <w:rPr>
          <w:rFonts w:ascii="Times New Roman" w:eastAsia="Times New Roman" w:hAnsi="Times New Roman" w:cs="Times New Roman"/>
          <w:b/>
          <w:sz w:val="20"/>
          <w:szCs w:val="20"/>
        </w:rPr>
      </w:pPr>
      <w:r w:rsidRPr="00BB551B">
        <w:rPr>
          <w:rFonts w:ascii="Times New Roman" w:eastAsia="Times New Roman" w:hAnsi="Times New Roman" w:cs="Times New Roman"/>
          <w:b/>
          <w:sz w:val="20"/>
          <w:szCs w:val="20"/>
        </w:rPr>
        <w:t>Deposits are not insured by the FDIC</w:t>
      </w:r>
    </w:p>
    <w:p w:rsidR="00C01651" w:rsidRPr="00BB551B" w:rsidRDefault="00C01651" w:rsidP="00C01651">
      <w:pPr>
        <w:spacing w:after="0" w:line="240" w:lineRule="auto"/>
        <w:rPr>
          <w:rFonts w:ascii="Times New Roman" w:eastAsia="Times New Roman" w:hAnsi="Times New Roman" w:cs="Times New Roman"/>
          <w:sz w:val="20"/>
          <w:szCs w:val="20"/>
        </w:rPr>
      </w:pPr>
    </w:p>
    <w:p w:rsidR="00BB551B" w:rsidRDefault="003E4864" w:rsidP="00BB551B">
      <w:pPr>
        <w:pStyle w:val="Default"/>
        <w:rPr>
          <w:rFonts w:ascii="Arial" w:hAnsi="Arial" w:cs="Arial"/>
          <w:sz w:val="18"/>
          <w:szCs w:val="18"/>
        </w:rPr>
      </w:pPr>
      <w:r>
        <w:rPr>
          <w:rFonts w:ascii="Arial" w:hAnsi="Arial" w:cs="Arial"/>
          <w:sz w:val="18"/>
          <w:szCs w:val="18"/>
        </w:rPr>
        <w:t>March</w:t>
      </w:r>
      <w:r w:rsidR="00362184">
        <w:rPr>
          <w:rFonts w:ascii="Arial" w:hAnsi="Arial" w:cs="Arial"/>
          <w:sz w:val="18"/>
          <w:szCs w:val="18"/>
        </w:rPr>
        <w:t xml:space="preserve"> </w:t>
      </w:r>
      <w:bookmarkStart w:id="0" w:name="_GoBack"/>
      <w:bookmarkEnd w:id="0"/>
      <w:r w:rsidR="00103A1C">
        <w:rPr>
          <w:rFonts w:ascii="Arial" w:hAnsi="Arial" w:cs="Arial"/>
          <w:sz w:val="18"/>
          <w:szCs w:val="18"/>
        </w:rPr>
        <w:t>2020</w:t>
      </w:r>
      <w:r w:rsidR="009A5D17">
        <w:rPr>
          <w:rFonts w:ascii="Arial" w:hAnsi="Arial" w:cs="Arial"/>
          <w:sz w:val="18"/>
          <w:szCs w:val="18"/>
        </w:rPr>
        <w:t xml:space="preserve"> </w:t>
      </w:r>
    </w:p>
    <w:p w:rsidR="009A5D17" w:rsidRPr="00BB551B" w:rsidRDefault="009A5D17" w:rsidP="00BB551B">
      <w:pPr>
        <w:pStyle w:val="Default"/>
        <w:rPr>
          <w:rFonts w:ascii="Arial" w:hAnsi="Arial" w:cs="Arial"/>
          <w:sz w:val="18"/>
          <w:szCs w:val="18"/>
        </w:rPr>
      </w:pPr>
    </w:p>
    <w:p w:rsidR="00BB551B" w:rsidRPr="00BB551B" w:rsidRDefault="00BB551B" w:rsidP="00BB551B">
      <w:pPr>
        <w:pStyle w:val="Default"/>
        <w:rPr>
          <w:rFonts w:ascii="Arial" w:hAnsi="Arial" w:cs="Arial"/>
          <w:sz w:val="18"/>
          <w:szCs w:val="18"/>
        </w:rPr>
      </w:pPr>
      <w:r w:rsidRPr="00BB551B">
        <w:rPr>
          <w:rFonts w:ascii="Arial" w:hAnsi="Arial" w:cs="Arial"/>
          <w:sz w:val="18"/>
          <w:szCs w:val="18"/>
        </w:rPr>
        <w:t xml:space="preserve">Dear Customer: </w:t>
      </w:r>
    </w:p>
    <w:p w:rsidR="00BB551B" w:rsidRPr="00BB551B" w:rsidRDefault="00BB551B" w:rsidP="00BB551B">
      <w:pPr>
        <w:pStyle w:val="Default"/>
        <w:rPr>
          <w:rFonts w:ascii="Arial" w:hAnsi="Arial" w:cs="Arial"/>
          <w:sz w:val="18"/>
          <w:szCs w:val="18"/>
        </w:rPr>
      </w:pPr>
    </w:p>
    <w:p w:rsidR="00BB551B" w:rsidRPr="00BB551B" w:rsidRDefault="00BB551B" w:rsidP="00BB551B">
      <w:pPr>
        <w:pStyle w:val="Default"/>
        <w:rPr>
          <w:rFonts w:ascii="Arial" w:hAnsi="Arial" w:cs="Arial"/>
          <w:sz w:val="18"/>
          <w:szCs w:val="18"/>
        </w:rPr>
      </w:pPr>
      <w:r w:rsidRPr="00BB551B">
        <w:rPr>
          <w:rFonts w:ascii="Arial" w:hAnsi="Arial" w:cs="Arial"/>
          <w:sz w:val="18"/>
          <w:szCs w:val="18"/>
        </w:rPr>
        <w:t xml:space="preserve">China Construction Bank, New York Branch (“CCB” or “we”), as part of its ongoing due diligence and overall Anti-Money Laundering Program has taken steps to prevent the opening or maintenance of accounts by entities identified as being of primary money laundering concern. Additionally, we are providing our customers with the following notice. </w:t>
      </w:r>
    </w:p>
    <w:p w:rsidR="00BB551B" w:rsidRPr="00BB551B" w:rsidRDefault="00BB551B" w:rsidP="00BB551B">
      <w:pPr>
        <w:pStyle w:val="Default"/>
        <w:rPr>
          <w:rFonts w:ascii="Arial" w:hAnsi="Arial" w:cs="Arial"/>
          <w:sz w:val="18"/>
          <w:szCs w:val="18"/>
        </w:rPr>
      </w:pPr>
    </w:p>
    <w:p w:rsidR="00BB551B" w:rsidRPr="00BB551B" w:rsidRDefault="00BB551B" w:rsidP="00BB551B">
      <w:pPr>
        <w:pStyle w:val="Default"/>
        <w:rPr>
          <w:rFonts w:ascii="Arial" w:hAnsi="Arial" w:cs="Arial"/>
          <w:i/>
          <w:iCs/>
          <w:sz w:val="18"/>
          <w:szCs w:val="18"/>
        </w:rPr>
      </w:pPr>
      <w:r w:rsidRPr="00BB551B">
        <w:rPr>
          <w:rFonts w:ascii="Arial" w:hAnsi="Arial" w:cs="Arial"/>
          <w:i/>
          <w:iCs/>
          <w:sz w:val="18"/>
          <w:szCs w:val="18"/>
        </w:rPr>
        <w:t xml:space="preserve">Notice: Pursuant to U.S. regulations issued under section 311 of the USA PATRIOT Act, 31 CFR 103.192, we are prohibited from opening or maintaining a correspondent account for, or on behalf of, the following entities (hereinafter, the “Specified Banks”).. </w:t>
      </w:r>
    </w:p>
    <w:p w:rsidR="00BB551B" w:rsidRPr="00BB551B" w:rsidRDefault="00BB551B" w:rsidP="00BB551B">
      <w:pPr>
        <w:pStyle w:val="Default"/>
        <w:rPr>
          <w:rFonts w:ascii="Arial" w:hAnsi="Arial" w:cs="Arial"/>
          <w:sz w:val="18"/>
          <w:szCs w:val="18"/>
        </w:rPr>
      </w:pPr>
    </w:p>
    <w:p w:rsidR="00BB551B" w:rsidRPr="00BB551B" w:rsidRDefault="00BB551B" w:rsidP="00BB551B">
      <w:pPr>
        <w:pStyle w:val="Default"/>
        <w:rPr>
          <w:rFonts w:ascii="Arial" w:hAnsi="Arial" w:cs="Arial"/>
          <w:b/>
          <w:iCs/>
          <w:sz w:val="18"/>
          <w:szCs w:val="18"/>
          <w:u w:val="single"/>
        </w:rPr>
      </w:pPr>
      <w:r w:rsidRPr="00BB551B">
        <w:rPr>
          <w:rFonts w:ascii="Arial" w:hAnsi="Arial" w:cs="Arial"/>
          <w:b/>
          <w:iCs/>
          <w:sz w:val="18"/>
          <w:szCs w:val="18"/>
          <w:u w:val="single"/>
        </w:rPr>
        <w:t xml:space="preserve">Specified Banks </w:t>
      </w:r>
    </w:p>
    <w:p w:rsidR="001D6DB9" w:rsidRPr="001D6DB9" w:rsidRDefault="001D6DB9" w:rsidP="00D457D5">
      <w:pPr>
        <w:pStyle w:val="Default"/>
        <w:rPr>
          <w:rFonts w:ascii="Arial" w:hAnsi="Arial" w:cs="Arial"/>
          <w:sz w:val="18"/>
          <w:szCs w:val="18"/>
        </w:rPr>
      </w:pPr>
    </w:p>
    <w:p w:rsidR="00BB551B" w:rsidRPr="00BB551B" w:rsidRDefault="00BB551B" w:rsidP="00BB551B">
      <w:pPr>
        <w:pStyle w:val="Default"/>
        <w:numPr>
          <w:ilvl w:val="0"/>
          <w:numId w:val="1"/>
        </w:numPr>
        <w:rPr>
          <w:rFonts w:ascii="Arial" w:hAnsi="Arial" w:cs="Arial"/>
          <w:sz w:val="18"/>
          <w:szCs w:val="18"/>
        </w:rPr>
      </w:pPr>
      <w:r w:rsidRPr="00BB551B">
        <w:rPr>
          <w:rFonts w:ascii="Arial" w:hAnsi="Arial" w:cs="Arial"/>
          <w:iCs/>
          <w:sz w:val="18"/>
          <w:szCs w:val="18"/>
        </w:rPr>
        <w:t xml:space="preserve">Banco Delta Asia or any of its subsidiaries (including, but not limited to, Delta Asia Credit Limited, and Delta Asia Insurance Limited) </w:t>
      </w:r>
    </w:p>
    <w:p w:rsidR="00BB551B" w:rsidRPr="00BB551B" w:rsidRDefault="00BB551B" w:rsidP="00BB551B">
      <w:pPr>
        <w:pStyle w:val="Default"/>
        <w:numPr>
          <w:ilvl w:val="0"/>
          <w:numId w:val="1"/>
        </w:numPr>
        <w:rPr>
          <w:rFonts w:ascii="Arial" w:hAnsi="Arial" w:cs="Arial"/>
          <w:sz w:val="18"/>
          <w:szCs w:val="18"/>
        </w:rPr>
      </w:pPr>
      <w:r w:rsidRPr="00BB551B">
        <w:rPr>
          <w:rFonts w:ascii="Arial" w:hAnsi="Arial" w:cs="Arial"/>
          <w:iCs/>
          <w:sz w:val="18"/>
          <w:szCs w:val="18"/>
        </w:rPr>
        <w:t xml:space="preserve">Burma/Myanmar – any Burmese/Myanmar banking institution chartered or licensed by Burma/Myanmar (including branches and offices located outside Burma/Myanmar) </w:t>
      </w:r>
    </w:p>
    <w:p w:rsidR="00BB551B" w:rsidRPr="00BB551B" w:rsidRDefault="00BB551B" w:rsidP="00BB551B">
      <w:pPr>
        <w:pStyle w:val="Default"/>
        <w:numPr>
          <w:ilvl w:val="0"/>
          <w:numId w:val="1"/>
        </w:numPr>
        <w:rPr>
          <w:rFonts w:ascii="Arial" w:hAnsi="Arial" w:cs="Arial"/>
          <w:iCs/>
          <w:sz w:val="18"/>
          <w:szCs w:val="18"/>
        </w:rPr>
      </w:pPr>
      <w:r w:rsidRPr="00BB551B">
        <w:rPr>
          <w:rFonts w:ascii="Arial" w:hAnsi="Arial" w:cs="Arial"/>
          <w:iCs/>
          <w:sz w:val="18"/>
          <w:szCs w:val="18"/>
        </w:rPr>
        <w:t>Commercial Bank of Syria (including Syrian Lebanese Commercial Bank)</w:t>
      </w:r>
    </w:p>
    <w:p w:rsidR="00BB551B" w:rsidRPr="00BB551B" w:rsidRDefault="00BB551B" w:rsidP="00BB551B">
      <w:pPr>
        <w:pStyle w:val="Default"/>
        <w:numPr>
          <w:ilvl w:val="0"/>
          <w:numId w:val="1"/>
        </w:numPr>
        <w:rPr>
          <w:rFonts w:ascii="Arial" w:hAnsi="Arial" w:cs="Arial"/>
          <w:iCs/>
          <w:sz w:val="18"/>
          <w:szCs w:val="18"/>
        </w:rPr>
      </w:pPr>
      <w:r w:rsidRPr="00BB551B">
        <w:rPr>
          <w:rFonts w:ascii="Arial" w:hAnsi="Arial" w:cs="Arial"/>
          <w:iCs/>
          <w:sz w:val="18"/>
          <w:szCs w:val="18"/>
        </w:rPr>
        <w:t>FBME Bank Ltd.</w:t>
      </w:r>
    </w:p>
    <w:p w:rsidR="00BB551B" w:rsidRPr="00BB551B" w:rsidRDefault="00BB551B" w:rsidP="00BB551B">
      <w:pPr>
        <w:pStyle w:val="Default"/>
        <w:numPr>
          <w:ilvl w:val="0"/>
          <w:numId w:val="1"/>
        </w:numPr>
        <w:rPr>
          <w:rFonts w:ascii="Arial" w:hAnsi="Arial" w:cs="Arial"/>
          <w:sz w:val="18"/>
          <w:szCs w:val="18"/>
        </w:rPr>
      </w:pPr>
      <w:proofErr w:type="spellStart"/>
      <w:r w:rsidRPr="00BB551B">
        <w:rPr>
          <w:rFonts w:ascii="Arial" w:hAnsi="Arial" w:cs="Arial"/>
          <w:sz w:val="18"/>
          <w:szCs w:val="18"/>
        </w:rPr>
        <w:t>Halawi</w:t>
      </w:r>
      <w:proofErr w:type="spellEnd"/>
      <w:r w:rsidRPr="00BB551B">
        <w:rPr>
          <w:rFonts w:ascii="Arial" w:hAnsi="Arial" w:cs="Arial"/>
          <w:sz w:val="18"/>
          <w:szCs w:val="18"/>
        </w:rPr>
        <w:t xml:space="preserve"> Exchange Co.</w:t>
      </w:r>
    </w:p>
    <w:p w:rsidR="00BB551B" w:rsidRPr="00D457D5" w:rsidRDefault="00BB551B" w:rsidP="00D457D5">
      <w:pPr>
        <w:pStyle w:val="Default"/>
        <w:numPr>
          <w:ilvl w:val="0"/>
          <w:numId w:val="1"/>
        </w:numPr>
        <w:rPr>
          <w:rFonts w:ascii="Arial" w:hAnsi="Arial" w:cs="Arial"/>
          <w:sz w:val="18"/>
          <w:szCs w:val="18"/>
        </w:rPr>
      </w:pPr>
      <w:r w:rsidRPr="00BB551B">
        <w:rPr>
          <w:rFonts w:ascii="Arial" w:hAnsi="Arial" w:cs="Arial"/>
          <w:sz w:val="18"/>
          <w:szCs w:val="18"/>
        </w:rPr>
        <w:t xml:space="preserve">Islamic Republic of Iran, including the Central Bank of Iran, private Iranian banks, branches and subsidiaries </w:t>
      </w:r>
    </w:p>
    <w:p w:rsidR="00BB551B" w:rsidRDefault="00BB551B" w:rsidP="00BB551B">
      <w:pPr>
        <w:pStyle w:val="Default"/>
        <w:numPr>
          <w:ilvl w:val="0"/>
          <w:numId w:val="1"/>
        </w:numPr>
        <w:rPr>
          <w:rFonts w:ascii="Arial" w:hAnsi="Arial" w:cs="Arial"/>
          <w:sz w:val="18"/>
          <w:szCs w:val="18"/>
        </w:rPr>
      </w:pPr>
      <w:r w:rsidRPr="00BB551B">
        <w:rPr>
          <w:rFonts w:ascii="Arial" w:hAnsi="Arial" w:cs="Arial"/>
          <w:sz w:val="18"/>
          <w:szCs w:val="18"/>
        </w:rPr>
        <w:t xml:space="preserve">Kassem </w:t>
      </w:r>
      <w:proofErr w:type="spellStart"/>
      <w:r w:rsidRPr="00BB551B">
        <w:rPr>
          <w:rFonts w:ascii="Arial" w:hAnsi="Arial" w:cs="Arial"/>
          <w:sz w:val="18"/>
          <w:szCs w:val="18"/>
        </w:rPr>
        <w:t>Rmeiti</w:t>
      </w:r>
      <w:proofErr w:type="spellEnd"/>
      <w:r w:rsidRPr="00BB551B">
        <w:rPr>
          <w:rFonts w:ascii="Arial" w:hAnsi="Arial" w:cs="Arial"/>
          <w:sz w:val="18"/>
          <w:szCs w:val="18"/>
        </w:rPr>
        <w:t xml:space="preserve"> &amp; Co. For Exchange</w:t>
      </w:r>
    </w:p>
    <w:p w:rsidR="00C53AC9" w:rsidRDefault="00C53AC9" w:rsidP="00BB551B">
      <w:pPr>
        <w:pStyle w:val="Default"/>
        <w:numPr>
          <w:ilvl w:val="0"/>
          <w:numId w:val="1"/>
        </w:numPr>
        <w:rPr>
          <w:rFonts w:ascii="Arial" w:hAnsi="Arial" w:cs="Arial"/>
          <w:sz w:val="18"/>
          <w:szCs w:val="18"/>
        </w:rPr>
      </w:pPr>
      <w:r>
        <w:rPr>
          <w:rFonts w:ascii="Arial" w:hAnsi="Arial" w:cs="Arial"/>
          <w:sz w:val="18"/>
          <w:szCs w:val="18"/>
        </w:rPr>
        <w:t>Democratic People’s Republic of Korea</w:t>
      </w:r>
    </w:p>
    <w:p w:rsidR="00194A96" w:rsidRDefault="00194A96" w:rsidP="00BB551B">
      <w:pPr>
        <w:pStyle w:val="Default"/>
        <w:numPr>
          <w:ilvl w:val="0"/>
          <w:numId w:val="1"/>
        </w:numPr>
        <w:rPr>
          <w:rFonts w:ascii="Arial" w:hAnsi="Arial" w:cs="Arial"/>
          <w:sz w:val="18"/>
          <w:szCs w:val="18"/>
        </w:rPr>
      </w:pPr>
      <w:r>
        <w:rPr>
          <w:rFonts w:ascii="Arial" w:hAnsi="Arial" w:cs="Arial"/>
          <w:sz w:val="18"/>
          <w:szCs w:val="18"/>
        </w:rPr>
        <w:t>Bank of Dandong</w:t>
      </w:r>
    </w:p>
    <w:p w:rsidR="007C1A66" w:rsidRPr="00BB551B" w:rsidRDefault="007C1A66" w:rsidP="00BB551B">
      <w:pPr>
        <w:pStyle w:val="Default"/>
        <w:numPr>
          <w:ilvl w:val="0"/>
          <w:numId w:val="1"/>
        </w:numPr>
        <w:rPr>
          <w:rFonts w:ascii="Arial" w:hAnsi="Arial" w:cs="Arial"/>
          <w:sz w:val="18"/>
          <w:szCs w:val="18"/>
        </w:rPr>
      </w:pPr>
      <w:r>
        <w:rPr>
          <w:rFonts w:ascii="Arial" w:hAnsi="Arial" w:cs="Arial"/>
          <w:sz w:val="18"/>
          <w:szCs w:val="18"/>
        </w:rPr>
        <w:t>ABLV Bank of Latvia</w:t>
      </w:r>
    </w:p>
    <w:p w:rsidR="00BB551B" w:rsidRPr="00BB551B" w:rsidRDefault="00BB551B" w:rsidP="00D457D5">
      <w:pPr>
        <w:pStyle w:val="Default"/>
        <w:ind w:left="720"/>
        <w:rPr>
          <w:rFonts w:ascii="Arial" w:hAnsi="Arial" w:cs="Arial"/>
          <w:sz w:val="18"/>
          <w:szCs w:val="18"/>
        </w:rPr>
      </w:pPr>
    </w:p>
    <w:p w:rsidR="00BB551B" w:rsidRPr="00BB551B" w:rsidRDefault="00BB551B" w:rsidP="00BB551B">
      <w:pPr>
        <w:rPr>
          <w:rFonts w:ascii="Arial" w:hAnsi="Arial" w:cs="Arial"/>
          <w:sz w:val="18"/>
          <w:szCs w:val="18"/>
        </w:rPr>
      </w:pPr>
    </w:p>
    <w:p w:rsidR="00BB551B" w:rsidRPr="00BB551B" w:rsidRDefault="00BB551B" w:rsidP="00BB551B">
      <w:pPr>
        <w:rPr>
          <w:rFonts w:ascii="Arial" w:hAnsi="Arial" w:cs="Arial"/>
          <w:b/>
          <w:sz w:val="18"/>
          <w:szCs w:val="18"/>
          <w:u w:val="single"/>
        </w:rPr>
      </w:pPr>
      <w:r w:rsidRPr="00BB551B">
        <w:rPr>
          <w:rFonts w:ascii="Arial" w:hAnsi="Arial" w:cs="Arial"/>
          <w:b/>
          <w:sz w:val="18"/>
          <w:szCs w:val="18"/>
          <w:u w:val="single"/>
        </w:rPr>
        <w:t>What this means for your institution:</w:t>
      </w:r>
    </w:p>
    <w:p w:rsidR="00BB551B" w:rsidRPr="00BB551B" w:rsidRDefault="00BB551B" w:rsidP="00BB551B">
      <w:pPr>
        <w:rPr>
          <w:rFonts w:ascii="Arial" w:hAnsi="Arial" w:cs="Arial"/>
          <w:sz w:val="18"/>
          <w:szCs w:val="18"/>
        </w:rPr>
      </w:pPr>
      <w:r w:rsidRPr="00BB551B">
        <w:rPr>
          <w:rFonts w:ascii="Arial" w:hAnsi="Arial" w:cs="Arial"/>
          <w:sz w:val="18"/>
          <w:szCs w:val="18"/>
        </w:rPr>
        <w:t xml:space="preserve">To comply with these aforementioned regulations, if CCB becomes aware that any of these entities or its subsidiaries is indirectly using the correspondent account you hold with our financial institution, we will be required to take appropriate steps to prevent such access. This may include closing your account. </w:t>
      </w:r>
    </w:p>
    <w:p w:rsidR="00CE77F0" w:rsidRDefault="00BB551B">
      <w:r w:rsidRPr="00BB551B">
        <w:rPr>
          <w:rFonts w:ascii="Arial" w:hAnsi="Arial" w:cs="Arial"/>
          <w:sz w:val="18"/>
          <w:szCs w:val="18"/>
        </w:rPr>
        <w:t>If you have any questions regarding this notice, please contact our Anti-Money Laundering Compliance Officer, Mildred Harper, at 646-781-2470 or by email at Mildred.Harper@ccbny.com.</w:t>
      </w:r>
    </w:p>
    <w:sectPr w:rsidR="00CE77F0" w:rsidSect="00BB551B">
      <w:headerReference w:type="default" r:id="rId8"/>
      <w:pgSz w:w="15840" w:h="12240" w:orient="landscape"/>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CC1" w:rsidRDefault="00450CC1" w:rsidP="00BB551B">
      <w:pPr>
        <w:spacing w:after="0" w:line="240" w:lineRule="auto"/>
      </w:pPr>
      <w:r>
        <w:separator/>
      </w:r>
    </w:p>
  </w:endnote>
  <w:endnote w:type="continuationSeparator" w:id="0">
    <w:p w:rsidR="00450CC1" w:rsidRDefault="00450CC1" w:rsidP="00BB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CC1" w:rsidRDefault="00450CC1" w:rsidP="00BB551B">
      <w:pPr>
        <w:spacing w:after="0" w:line="240" w:lineRule="auto"/>
      </w:pPr>
      <w:r>
        <w:separator/>
      </w:r>
    </w:p>
  </w:footnote>
  <w:footnote w:type="continuationSeparator" w:id="0">
    <w:p w:rsidR="00450CC1" w:rsidRDefault="00450CC1" w:rsidP="00BB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51B" w:rsidRDefault="00BB551B">
    <w:pPr>
      <w:pStyle w:val="Header"/>
    </w:pPr>
    <w:r>
      <w:rPr>
        <w:rFonts w:ascii="Calibri" w:eastAsia="宋体" w:hAnsi="Calibri" w:cs="Times New Roman"/>
        <w:b/>
        <w:noProof/>
        <w:lang w:eastAsia="zh-CN"/>
      </w:rPr>
      <w:drawing>
        <wp:inline distT="0" distB="0" distL="0" distR="0" wp14:anchorId="74C2E5C0" wp14:editId="73F4E08C">
          <wp:extent cx="2028825" cy="476250"/>
          <wp:effectExtent l="0" t="0" r="9525" b="0"/>
          <wp:docPr id="2" name="Picture 2" desc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476250"/>
                  </a:xfrm>
                  <a:prstGeom prst="rect">
                    <a:avLst/>
                  </a:prstGeom>
                  <a:noFill/>
                  <a:ln>
                    <a:noFill/>
                  </a:ln>
                </pic:spPr>
              </pic:pic>
            </a:graphicData>
          </a:graphic>
        </wp:inline>
      </w:drawing>
    </w:r>
  </w:p>
  <w:p w:rsidR="00BB551B" w:rsidRDefault="00BB5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A0427"/>
    <w:multiLevelType w:val="hybridMultilevel"/>
    <w:tmpl w:val="E5F0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51"/>
    <w:rsid w:val="00050486"/>
    <w:rsid w:val="00103A1C"/>
    <w:rsid w:val="00194A96"/>
    <w:rsid w:val="001D6DB9"/>
    <w:rsid w:val="002241EE"/>
    <w:rsid w:val="00267B71"/>
    <w:rsid w:val="002D5999"/>
    <w:rsid w:val="00362184"/>
    <w:rsid w:val="003637C1"/>
    <w:rsid w:val="003E4864"/>
    <w:rsid w:val="00404945"/>
    <w:rsid w:val="00450CC1"/>
    <w:rsid w:val="00460DB1"/>
    <w:rsid w:val="00492E89"/>
    <w:rsid w:val="005123D4"/>
    <w:rsid w:val="00513626"/>
    <w:rsid w:val="0058293C"/>
    <w:rsid w:val="00695905"/>
    <w:rsid w:val="00771A1D"/>
    <w:rsid w:val="007A5B3A"/>
    <w:rsid w:val="007C1A66"/>
    <w:rsid w:val="007E59DD"/>
    <w:rsid w:val="009A1705"/>
    <w:rsid w:val="009A5D17"/>
    <w:rsid w:val="00A06928"/>
    <w:rsid w:val="00A1153E"/>
    <w:rsid w:val="00A71574"/>
    <w:rsid w:val="00AD04E6"/>
    <w:rsid w:val="00B13C97"/>
    <w:rsid w:val="00B13E86"/>
    <w:rsid w:val="00B7365B"/>
    <w:rsid w:val="00B7613B"/>
    <w:rsid w:val="00BA4F9E"/>
    <w:rsid w:val="00BB551B"/>
    <w:rsid w:val="00C01651"/>
    <w:rsid w:val="00C17098"/>
    <w:rsid w:val="00C53AC9"/>
    <w:rsid w:val="00C64042"/>
    <w:rsid w:val="00CA5431"/>
    <w:rsid w:val="00D01FD7"/>
    <w:rsid w:val="00D457D5"/>
    <w:rsid w:val="00DC57B8"/>
    <w:rsid w:val="00E43C0D"/>
    <w:rsid w:val="00E76F9F"/>
    <w:rsid w:val="00E84B61"/>
    <w:rsid w:val="00FB505C"/>
    <w:rsid w:val="00FC7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BB85"/>
  <w15:docId w15:val="{61E0F91A-6B4F-40A0-B67D-DE423DA9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651"/>
    <w:rPr>
      <w:rFonts w:ascii="Tahoma" w:hAnsi="Tahoma" w:cs="Tahoma"/>
      <w:sz w:val="16"/>
      <w:szCs w:val="16"/>
    </w:rPr>
  </w:style>
  <w:style w:type="paragraph" w:customStyle="1" w:styleId="Default">
    <w:name w:val="Default"/>
    <w:rsid w:val="00BB551B"/>
    <w:pPr>
      <w:autoSpaceDE w:val="0"/>
      <w:autoSpaceDN w:val="0"/>
      <w:adjustRightInd w:val="0"/>
      <w:spacing w:after="0" w:line="240" w:lineRule="auto"/>
    </w:pPr>
    <w:rPr>
      <w:rFonts w:ascii="Verdana" w:eastAsia="Calibri" w:hAnsi="Verdana" w:cs="Verdana"/>
      <w:color w:val="000000"/>
      <w:sz w:val="24"/>
      <w:szCs w:val="24"/>
    </w:rPr>
  </w:style>
  <w:style w:type="paragraph" w:styleId="Header">
    <w:name w:val="header"/>
    <w:basedOn w:val="Normal"/>
    <w:link w:val="HeaderChar"/>
    <w:uiPriority w:val="99"/>
    <w:unhideWhenUsed/>
    <w:rsid w:val="00BB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51B"/>
  </w:style>
  <w:style w:type="paragraph" w:styleId="Footer">
    <w:name w:val="footer"/>
    <w:basedOn w:val="Normal"/>
    <w:link w:val="FooterChar"/>
    <w:uiPriority w:val="99"/>
    <w:unhideWhenUsed/>
    <w:rsid w:val="00BB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CBNY.COMPLIANCE@ccb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Mildred Harper</dc:creator>
  <cp:lastModifiedBy>Michael Cunningham</cp:lastModifiedBy>
  <cp:revision>3</cp:revision>
  <cp:lastPrinted>2016-03-04T21:16:00Z</cp:lastPrinted>
  <dcterms:created xsi:type="dcterms:W3CDTF">2020-03-22T15:48:00Z</dcterms:created>
  <dcterms:modified xsi:type="dcterms:W3CDTF">2020-03-22T15:48:00Z</dcterms:modified>
</cp:coreProperties>
</file>